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51304271" w14:textId="77777777" w:rsidR="00574596" w:rsidRDefault="00574596" w:rsidP="00574596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Malta Gianfranco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>
        <w:rPr>
          <w:rFonts w:ascii="Arial Narrow" w:eastAsia="Arial Unicode MS" w:hAnsi="Arial Narrow"/>
          <w:color w:val="000000"/>
          <w:u w:color="000000"/>
        </w:rPr>
        <w:t xml:space="preserve">viale E. Filiberto 74 00185 Roma,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Pr="00B577DB">
        <w:rPr>
          <w:rFonts w:ascii="Arial Narrow" w:hAnsi="Arial Narrow" w:cs="Tahoma"/>
          <w:b/>
          <w:bCs/>
          <w:color w:val="212B36"/>
        </w:rPr>
        <w:t>E000038801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01/02/2007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in qualità di collaboratore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Pr="009E02A2">
        <w:rPr>
          <w:rFonts w:ascii="Arial Narrow" w:eastAsia="Arial Unicode MS" w:hAnsi="Arial Narrow"/>
          <w:u w:color="000000"/>
        </w:rPr>
        <w:t xml:space="preserve">data  </w:t>
      </w:r>
      <w:r>
        <w:rPr>
          <w:rFonts w:ascii="Arial Narrow" w:hAnsi="Arial Narrow" w:cs="Arial"/>
          <w:b/>
          <w:bCs/>
        </w:rPr>
        <w:t>23</w:t>
      </w:r>
      <w:proofErr w:type="gramEnd"/>
      <w:r>
        <w:rPr>
          <w:rFonts w:ascii="Arial Narrow" w:hAnsi="Arial Narrow" w:cs="Arial"/>
          <w:b/>
          <w:bCs/>
        </w:rPr>
        <w:t xml:space="preserve">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08BB" w14:textId="77777777" w:rsidR="004F4730" w:rsidRDefault="004F4730">
      <w:r>
        <w:separator/>
      </w:r>
    </w:p>
  </w:endnote>
  <w:endnote w:type="continuationSeparator" w:id="0">
    <w:p w14:paraId="1AC624E9" w14:textId="77777777" w:rsidR="004F4730" w:rsidRDefault="004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12AC" w14:textId="77777777" w:rsidR="004F4730" w:rsidRDefault="004F4730">
      <w:r>
        <w:separator/>
      </w:r>
    </w:p>
  </w:footnote>
  <w:footnote w:type="continuationSeparator" w:id="0">
    <w:p w14:paraId="54659892" w14:textId="77777777" w:rsidR="004F4730" w:rsidRDefault="004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F4730"/>
    <w:rsid w:val="00507738"/>
    <w:rsid w:val="0054675A"/>
    <w:rsid w:val="00561EBD"/>
    <w:rsid w:val="00574596"/>
    <w:rsid w:val="005864CC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46AE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2021-06-01T15:31:00Z</dcterms:created>
  <dcterms:modified xsi:type="dcterms:W3CDTF">2021-06-01T15:31:00Z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